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9.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broken.</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McDowell</w:t>
      </w:r>
      <w:r>
        <w:t xml:space="preserve"> </w:t>
      </w:r>
      <w:r>
        <w:rPr>
          <w:i/>
        </w:rPr>
        <w:t xml:space="preserve">et al.</w:t>
      </w:r>
      <w:r>
        <w:t xml:space="preserve">, 2020; Breshears</w:t>
      </w:r>
      <w:r>
        <w:t xml:space="preserve"> </w:t>
      </w:r>
      <w:r>
        <w:rPr>
          <w:i/>
        </w:rPr>
        <w:t xml:space="preserve">et al.</w:t>
      </w:r>
      <w:r>
        <w:t xml:space="preserve">;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decreased C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w:t>
      </w:r>
      <w:r>
        <w:rPr>
          <w:b/>
        </w:rPr>
        <w:t xml:space="preserve">???</w:t>
      </w:r>
      <w:r>
        <w:t xml:space="preserve">; Krause</w:t>
      </w:r>
      <w:r>
        <w:t xml:space="preserve"> </w:t>
      </w:r>
      <w:r>
        <w:rPr>
          <w:i/>
        </w:rPr>
        <w:t xml:space="preserve">et al.</w:t>
      </w:r>
      <w:r>
        <w:t xml:space="preserve">, 2018)</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how these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5"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across the vertical profile,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.Especially when canopy height and leaf area index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 types</w:t>
      </w:r>
      <w:r>
        <w:rPr>
          <w:b/>
        </w:rPr>
        <w:t xml:space="preserve"> </w:t>
      </w:r>
      <w:r>
        <w:rPr>
          <w:b/>
        </w:rPr>
        <w:t xml:space="preserve">(Figs. 2, S1,</w:t>
      </w:r>
      <w:r>
        <w:rPr>
          <w:b/>
        </w:rPr>
        <w:t xml:space="preserve"> </w:t>
      </w:r>
      <w:r>
        <w:rPr>
          <w:b/>
          <w:b/>
        </w:rPr>
        <w:t xml:space="preserve">???</w:t>
      </w:r>
      <w:r>
        <w:rPr>
          <w:b/>
        </w:rPr>
        <w:t xml:space="preserve">)</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w:t>
      </w:r>
      <w:r>
        <w:t xml:space="preserve"> </w:t>
      </w:r>
      <w:r>
        <w:t xml:space="preserve">Seasonally, canopy buffering capacity is greater in wet than dry seasons, presumably because leaf area is greater in wet seasons</w:t>
      </w:r>
      <w:r>
        <w:t xml:space="preserve"> </w:t>
      </w:r>
      <w:r>
        <w:t xml:space="preserve">(Davis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either cooler than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t>
      </w:r>
      <m:oMath>
        <m:r>
          <m:t>λ</m:t>
        </m:r>
        <m:r>
          <m:t>E</m:t>
        </m:r>
      </m:oMath>
      <w:r>
        <w:t xml:space="preserve">), wherein the loss of energy required to convert water from a liquid to a vapour state during evaporation and transpiration cools the leaf.</w:t>
      </w:r>
      <w:r>
        <w:t xml:space="preserve"> </w:t>
      </w:r>
      <w:r>
        <w:t xml:space="preserve">Evapotranspiration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(shaped by VPD and photosynthetic CO2 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propensities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 4</w:t>
      </w:r>
      <m:oMath>
        <m:sSup>
          <m:e>
            <m:r>
              <m:t>​</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give upper canopy leaves lower sensitivity to intercepted radiation (Fig. 3a) and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gradients of</w:t>
      </w:r>
      <w:r>
        <w:t xml:space="preserve"> </w:t>
      </w:r>
      <m:oMath>
        <m:sSub>
          <m:e>
            <m:r>
              <m:t>T</m:t>
            </m:r>
          </m:e>
          <m:sub>
            <m:r>
              <m:t>a</m:t>
            </m:r>
            <m:r>
              <m:t>i</m:t>
            </m:r>
            <m:r>
              <m:t>r</m:t>
            </m:r>
          </m:sub>
        </m:sSub>
      </m:oMath>
      <w:r>
        <w:t xml:space="preserve"> </w:t>
      </w:r>
      <w:r>
        <w:t xml:space="preserve">depend on canopy structure and LAI</w:t>
      </w:r>
      <w:r>
        <w:t xml:space="preserve"> </w:t>
      </w:r>
      <w:r>
        <w:t xml:space="preserve">(Leuzinger &amp; Körner, 2007; Muller</w:t>
      </w:r>
      <w:r>
        <w:t xml:space="preserve"> </w:t>
      </w:r>
      <w:r>
        <w:rPr>
          <w:i/>
        </w:rPr>
        <w:t xml:space="preserve">et al.</w:t>
      </w:r>
      <w:r>
        <w:t xml:space="preserve">, 2021)</w:t>
      </w:r>
      <w:r>
        <w:t xml:space="preserve">. Closed canopies, and high LAI canopies act as an umbrella, absorbing most of the incoming radiation and preventing vertical air mixing in the understory microclimate.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(lower canopy LAI) allow more vertical air mixing and sunlight into the understory, and this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of the lower canopy more than that of the upper canopy as in the case of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also due to the propensity of shade leaves for lower</w:t>
      </w:r>
      <w:r>
        <w:t xml:space="preserve"> </w:t>
      </w:r>
      <m:oMath>
        <m:sSub>
          <m:e>
            <m:r>
              <m:t>g</m:t>
            </m:r>
          </m:e>
          <m:sub>
            <m:r>
              <m:t>s</m:t>
            </m:r>
          </m:sub>
        </m:sSub>
      </m:oMath>
      <w:r>
        <w:t xml:space="preserve"> </w:t>
      </w:r>
      <w:r>
        <w:t xml:space="preserve">and greater thermal capacitance (capacity to hold heat)</w:t>
      </w:r>
      <w:r>
        <w:t xml:space="preserve"> </w:t>
      </w:r>
      <w:r>
        <w:t xml:space="preserve">(Schymanski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load,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 Carter</w:t>
      </w:r>
      <w:r>
        <w:t xml:space="preserve"> </w:t>
      </w:r>
      <w:r>
        <w:rPr>
          <w:i/>
        </w:rPr>
        <w:t xml:space="preserve">et al.</w:t>
      </w:r>
      <w:r>
        <w:t xml:space="preserve">)</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inner canopy can also increase</w:t>
      </w:r>
      <w:r>
        <w:t xml:space="preserve"> </w:t>
      </w:r>
      <m:oMath>
        <m:sSub>
          <m:e>
            <m:r>
              <m:t>T</m:t>
            </m:r>
          </m:e>
          <m:sub>
            <m:r>
              <m:t>l</m:t>
            </m:r>
            <m:r>
              <m:t>e</m:t>
            </m:r>
            <m:r>
              <m:t>a</m:t>
            </m:r>
            <m:r>
              <m:t>f</m:t>
            </m:r>
          </m:sub>
        </m:sSub>
      </m:oMath>
      <w:r>
        <w:t xml:space="preserve"> </w:t>
      </w:r>
      <w:r>
        <w:t xml:space="preserve">relatively more than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that of branches and stems;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through the vertical canopy.</w:t>
      </w:r>
      <w:r>
        <w:t xml:space="preserve"> </w:t>
      </w:r>
      <w:r>
        <w:t xml:space="preserve">It has been established that independent of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
        </w:rPr>
        <w:t xml:space="preserve">et al.</w:t>
      </w:r>
      <w:r>
        <w:t xml:space="preserve">, p. 2021)</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 for instance, by being smaller, hairier, and with higher vein density than shade leaves</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with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diffused-light environment with sunflecks (e.g., lower LMA), but are more likely to get overheated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Caratenoids and xanthophyll cycle pigments – violaxanthin, antheraxanthin and zeaxanthin (</w:t>
      </w:r>
      <m:oMath>
        <m:r>
          <m:t>V</m:t>
        </m:r>
        <m:r>
          <m:t>A</m:t>
        </m:r>
        <m:r>
          <m:t>Z</m:t>
        </m:r>
      </m:oMath>
      <w:r>
        <w:t xml:space="preserve">)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.Further, higher heat tolerance in exposed canopies is facilitated by isoprenes in species capable of emitting isoprenes [</w:t>
      </w:r>
      <w:r>
        <w:rPr>
          <w:b/>
        </w:rPr>
        <w:t xml:space="preserve">REF</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biophysical and</w:t>
      </w:r>
      <w:r>
        <w:t xml:space="preserve"> </w:t>
      </w:r>
      <m:oMath>
        <m:sSub>
          <m:e>
            <m:r>
              <m:t>T</m:t>
            </m:r>
          </m:e>
          <m:sub>
            <m:r>
              <m:t>l</m:t>
            </m:r>
            <m:r>
              <m:t>e</m:t>
            </m:r>
            <m:r>
              <m:t>a</m:t>
            </m:r>
            <m:r>
              <m:t>f</m:t>
            </m:r>
          </m:sub>
        </m:sSub>
      </m:oMath>
      <w:r>
        <w:t xml:space="preserve"> </w:t>
      </w:r>
      <w:r>
        <w:t xml:space="preserve">gradients in the forest</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tree size classes, there is an increase in the fractions of species that are isoprene-emitting (</w:t>
      </w:r>
      <w:r>
        <w:rPr>
          <w:b/>
        </w:rPr>
        <w:t xml:space="preserve">REFS</w:t>
      </w:r>
      <w:r>
        <w:t xml:space="preserve">) and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p>
    <w:p>
      <w:pPr>
        <w:pStyle w:val="BodyText"/>
      </w:pP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very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more open forests, midday stomatal closure can occur in both upper canopy and lower canopy leaves, with stomata of lower canopy leaves remaining closed for a longer time duration than upper canopy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(Hernández</w:t>
      </w:r>
      <w:r>
        <w:t xml:space="preserve"> </w:t>
      </w:r>
      <w:r>
        <w:rPr>
          <w:i/>
        </w:rPr>
        <w:t xml:space="preserve">et al.</w:t>
      </w:r>
      <w:r>
        <w:t xml:space="preserve">, 2020; Carter</w:t>
      </w:r>
      <w:r>
        <w:t xml:space="preserve"> </w:t>
      </w:r>
      <w:r>
        <w:rPr>
          <w:i/>
        </w:rPr>
        <w:t xml:space="preserve">et al.</w:t>
      </w:r>
      <w:r>
        <w:t xml:space="preserve">)</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which also have traits allowing greater photosynthetic rates at high light under sufficient nutrient and water conditions (Table 1, Table 2).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 (e.g. </w:t>
      </w:r>
      <w:r>
        <w:t xml:space="preserve">Slot &amp; Winter (2017)</w:t>
      </w:r>
      <w:r>
        <w:t xml:space="preserve">;</w:t>
      </w:r>
      <w:r>
        <w:t xml:space="preserve"> </w:t>
      </w:r>
      <w:r>
        <w:t xml:space="preserve">Smith</w:t>
      </w:r>
      <w:r>
        <w:t xml:space="preserve"> </w:t>
      </w:r>
      <w:r>
        <w:rPr>
          <w:i/>
        </w:rPr>
        <w:t xml:space="preserve">et al.</w:t>
      </w:r>
      <w:r>
        <w:t xml:space="preserve"> </w:t>
      </w:r>
      <w:r>
        <w:t xml:space="preserve">(2020)</w:t>
      </w:r>
      <w:r>
        <w:t xml:space="preserve"> </w:t>
      </w:r>
      <w:r>
        <w:t xml:space="preserve">[temperate/boreal refs needed),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understory to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p.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w:t>
      </w:r>
      <w:r>
        <w:t xml:space="preserve">. Further, we would expect</w:t>
      </w:r>
      <w:r>
        <w:t xml:space="preserve"> </w:t>
      </w:r>
      <m:oMath>
        <m:sSub>
          <m:e>
            <m:r>
              <m:t>Q</m:t>
            </m:r>
          </m:e>
          <m:sub>
            <m:r>
              <m:t>10</m:t>
            </m:r>
          </m:sub>
        </m:sSub>
      </m:oMath>
      <w:r>
        <w:t xml:space="preserve"> </w:t>
      </w:r>
      <w:r>
        <w:t xml:space="preserve">to also vary with soil moisture based on the evidence of canopy-position effect gradients in respiration rates for</w:t>
      </w:r>
      <w:r>
        <w:t xml:space="preserve"> </w:t>
      </w:r>
      <w:r>
        <w:rPr>
          <w:i/>
        </w:rPr>
        <w:t xml:space="preserve">Quercus rubra</w:t>
      </w:r>
      <w:r>
        <w:t xml:space="preserve"> </w:t>
      </w:r>
      <w:r>
        <w:t xml:space="preserve">being much greater in mesic than in xeric sites</w:t>
      </w:r>
      <w:r>
        <w:t xml:space="preserve"> </w:t>
      </w:r>
      <w:r>
        <w:t xml:space="preserve">(Xu &amp; Griffin, 2006)</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62"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5"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5"/>
    <w:bookmarkStart w:id="61"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6">
        <w:r>
          <w:rPr>
            <w:rStyle w:val="Hyperlink"/>
          </w:rPr>
          <w:t xml:space="preserve">https://doi.org/10.1016/j.rse.2014.01.028</w:t>
        </w:r>
      </w:hyperlink>
      <w:r>
        <w:t xml:space="preserve">, Musselman et al. </w:t>
      </w:r>
      <w:hyperlink r:id="rId57">
        <w:r>
          <w:rPr>
            <w:rStyle w:val="Hyperlink"/>
          </w:rPr>
          <w:t xml:space="preserve">https://doi.org/10.1016/j.rse.2013.05.021</w:t>
        </w:r>
      </w:hyperlink>
      <w:r>
        <w:t xml:space="preserve">, Davis et al. </w:t>
      </w:r>
      <w:hyperlink r:id="rId58">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9"/>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0">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1"/>
    <w:bookmarkEnd w:id="62"/>
    <w:bookmarkStart w:id="63"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3"/>
    <w:bookmarkStart w:id="64"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4"/>
    <w:bookmarkStart w:id="244" w:name="references"/>
    <w:p>
      <w:pPr>
        <w:pStyle w:val="Heading2"/>
      </w:pPr>
      <w:r>
        <w:t xml:space="preserve">References</w:t>
      </w:r>
    </w:p>
    <w:bookmarkStart w:id="243" w:name="refs"/>
    <w:bookmarkStart w:id="65"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7"/>
    <w:bookmarkStart w:id="68"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8"/>
    <w:bookmarkStart w:id="69"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9"/>
    <w:bookmarkStart w:id="70"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0"/>
    <w:bookmarkStart w:id="71"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1"/>
    <w:bookmarkStart w:id="72"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2"/>
    <w:bookmarkStart w:id="73"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3"/>
    <w:bookmarkStart w:id="74"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4"/>
    <w:bookmarkStart w:id="75"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5"/>
    <w:bookmarkStart w:id="76"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6"/>
    <w:bookmarkStart w:id="77"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7"/>
    <w:bookmarkStart w:id="78"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8"/>
    <w:bookmarkStart w:id="79"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9"/>
    <w:bookmarkStart w:id="80"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0"/>
    <w:bookmarkStart w:id="81" w:name="X5bd32b2115f80459f516e117bbf4d0f7d2ac2f5"/>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1"/>
    <w:bookmarkStart w:id="82"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2"/>
    <w:bookmarkStart w:id="83"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3"/>
    <w:bookmarkStart w:id="84"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4"/>
    <w:bookmarkStart w:id="85"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5"/>
    <w:bookmarkStart w:id="86"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6"/>
    <w:bookmarkStart w:id="87"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7"/>
    <w:bookmarkStart w:id="88"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8"/>
    <w:bookmarkStart w:id="89"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9"/>
    <w:bookmarkStart w:id="90"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90"/>
    <w:bookmarkStart w:id="91"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91"/>
    <w:bookmarkStart w:id="92"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2"/>
    <w:bookmarkStart w:id="93"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3"/>
    <w:bookmarkStart w:id="94"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4"/>
    <w:bookmarkStart w:id="9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5"/>
    <w:bookmarkStart w:id="9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6"/>
    <w:bookmarkStart w:id="97"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7"/>
    <w:bookmarkStart w:id="98"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8"/>
    <w:bookmarkStart w:id="99"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9"/>
    <w:bookmarkStart w:id="100"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4"/>
    <w:bookmarkStart w:id="105"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5"/>
    <w:bookmarkStart w:id="106"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6"/>
    <w:bookmarkStart w:id="10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3"/>
    <w:bookmarkStart w:id="144"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4"/>
    <w:bookmarkStart w:id="145"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7"/>
    <w:bookmarkStart w:id="148"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8"/>
    <w:bookmarkStart w:id="149"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9"/>
    <w:bookmarkStart w:id="150"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0"/>
    <w:bookmarkStart w:id="151"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1"/>
    <w:bookmarkStart w:id="152"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2"/>
    <w:bookmarkStart w:id="153"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3"/>
    <w:bookmarkStart w:id="154"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4"/>
    <w:bookmarkStart w:id="155"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5"/>
    <w:bookmarkStart w:id="156"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6"/>
    <w:bookmarkStart w:id="157"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7"/>
    <w:bookmarkStart w:id="158"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8"/>
    <w:bookmarkStart w:id="159"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9"/>
    <w:bookmarkStart w:id="160"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0"/>
    <w:bookmarkStart w:id="161"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1"/>
    <w:bookmarkStart w:id="162"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2"/>
    <w:bookmarkStart w:id="163"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3"/>
    <w:bookmarkStart w:id="164"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4"/>
    <w:bookmarkStart w:id="165"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5"/>
    <w:bookmarkStart w:id="166"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6"/>
    <w:bookmarkStart w:id="167"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7"/>
    <w:bookmarkStart w:id="168"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8"/>
    <w:bookmarkStart w:id="169"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9"/>
    <w:bookmarkStart w:id="170"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0"/>
    <w:bookmarkStart w:id="171"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1"/>
    <w:bookmarkStart w:id="172"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2"/>
    <w:bookmarkStart w:id="173"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3"/>
    <w:bookmarkStart w:id="174"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4"/>
    <w:bookmarkStart w:id="175"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5"/>
    <w:bookmarkStart w:id="176"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6"/>
    <w:bookmarkStart w:id="177"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7"/>
    <w:bookmarkStart w:id="178"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8"/>
    <w:bookmarkStart w:id="179"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9"/>
    <w:bookmarkStart w:id="180"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0"/>
    <w:bookmarkStart w:id="181"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1"/>
    <w:bookmarkStart w:id="182"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2"/>
    <w:bookmarkStart w:id="183"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3"/>
    <w:bookmarkStart w:id="184"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4"/>
    <w:bookmarkStart w:id="185"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5"/>
    <w:bookmarkStart w:id="186"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6"/>
    <w:bookmarkStart w:id="187"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7"/>
    <w:bookmarkStart w:id="188"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8"/>
    <w:bookmarkStart w:id="189"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9"/>
    <w:bookmarkStart w:id="190"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0"/>
    <w:bookmarkStart w:id="191"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1"/>
    <w:bookmarkStart w:id="192"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2"/>
    <w:bookmarkStart w:id="193"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3"/>
    <w:bookmarkStart w:id="194"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4"/>
    <w:bookmarkStart w:id="195"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5"/>
    <w:bookmarkStart w:id="196"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6"/>
    <w:bookmarkStart w:id="197"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7"/>
    <w:bookmarkStart w:id="19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8"/>
    <w:bookmarkStart w:id="199"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99"/>
    <w:bookmarkStart w:id="200"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0"/>
    <w:bookmarkStart w:id="201"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1"/>
    <w:bookmarkStart w:id="202"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2"/>
    <w:bookmarkStart w:id="203"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3"/>
    <w:bookmarkStart w:id="204"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4"/>
    <w:bookmarkStart w:id="205"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5"/>
    <w:bookmarkStart w:id="206"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6"/>
    <w:bookmarkStart w:id="207"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7"/>
    <w:bookmarkStart w:id="208"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8"/>
    <w:bookmarkStart w:id="209"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9"/>
    <w:bookmarkStart w:id="210"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0"/>
    <w:bookmarkStart w:id="211"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1"/>
    <w:bookmarkStart w:id="212"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2"/>
    <w:bookmarkStart w:id="213"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3"/>
    <w:bookmarkStart w:id="214"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5"/>
    <w:bookmarkStart w:id="216"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6"/>
    <w:bookmarkStart w:id="21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7"/>
    <w:bookmarkStart w:id="21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8"/>
    <w:bookmarkStart w:id="21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9"/>
    <w:bookmarkStart w:id="22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0"/>
    <w:bookmarkStart w:id="221"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1"/>
    <w:bookmarkStart w:id="222"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2"/>
    <w:bookmarkStart w:id="22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3"/>
    <w:bookmarkStart w:id="22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4"/>
    <w:bookmarkStart w:id="225"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5"/>
    <w:bookmarkStart w:id="226"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6"/>
    <w:bookmarkStart w:id="22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7"/>
    <w:bookmarkStart w:id="22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8"/>
    <w:bookmarkStart w:id="22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9"/>
    <w:bookmarkStart w:id="23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0"/>
    <w:bookmarkStart w:id="231"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1"/>
    <w:bookmarkStart w:id="23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2"/>
    <w:bookmarkStart w:id="233"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3"/>
    <w:bookmarkStart w:id="234"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4"/>
    <w:bookmarkStart w:id="235"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5"/>
    <w:bookmarkStart w:id="236"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6"/>
    <w:bookmarkStart w:id="237"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7"/>
    <w:bookmarkStart w:id="238"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38"/>
    <w:bookmarkStart w:id="239"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39"/>
    <w:bookmarkStart w:id="240"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0"/>
    <w:bookmarkStart w:id="241"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1"/>
    <w:bookmarkStart w:id="242"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2"/>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9" Target="media/rId59.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16/j.agrformet.2019.02.015" TargetMode="External" /><Relationship Type="http://schemas.openxmlformats.org/officeDocument/2006/relationships/hyperlink" Id="rId57" Target="https://doi.org/10.1016/j.rse.2013.05.021" TargetMode="External" /><Relationship Type="http://schemas.openxmlformats.org/officeDocument/2006/relationships/hyperlink" Id="rId56" Target="https://doi.org/10.1016/j.rse.2014.01.028" TargetMode="External"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60"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2021-07-27T19:46:44Z</dcterms:created>
  <dcterms:modified xsi:type="dcterms:W3CDTF">2021-07-27T19:46:44Z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